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2FD9E" w14:textId="77777777" w:rsidR="0077586D" w:rsidRDefault="0077586D">
      <w:pPr>
        <w:spacing w:after="0" w:line="240" w:lineRule="auto"/>
        <w:jc w:val="both"/>
      </w:pPr>
    </w:p>
    <w:p w14:paraId="2620D8CF" w14:textId="566D640E" w:rsidR="0077586D" w:rsidRDefault="0077586D">
      <w:pPr>
        <w:spacing w:after="0" w:line="240" w:lineRule="auto"/>
        <w:jc w:val="both"/>
      </w:pPr>
      <w:r w:rsidRPr="0077586D">
        <w:rPr>
          <w:b/>
          <w:bCs/>
        </w:rPr>
        <w:t>TITRE</w:t>
      </w:r>
    </w:p>
    <w:p w14:paraId="00000005" w14:textId="34A12BFA" w:rsidR="00BD5227" w:rsidRDefault="00000000">
      <w:pPr>
        <w:spacing w:after="0" w:line="240" w:lineRule="auto"/>
        <w:jc w:val="both"/>
      </w:pPr>
      <w:r>
        <w:t>RAVAST’HOP - Régulation naturelle des ravageurs du houblon via l’implantation de plantes de services</w:t>
      </w:r>
    </w:p>
    <w:p w14:paraId="00000006" w14:textId="77777777" w:rsidR="00BD5227" w:rsidRDefault="00BD5227">
      <w:pPr>
        <w:spacing w:after="0" w:line="240" w:lineRule="auto"/>
        <w:jc w:val="both"/>
      </w:pPr>
    </w:p>
    <w:p w14:paraId="65E239FF" w14:textId="750B4D5E" w:rsidR="0077586D" w:rsidRDefault="0077586D">
      <w:pPr>
        <w:spacing w:after="0" w:line="240" w:lineRule="auto"/>
        <w:jc w:val="both"/>
      </w:pPr>
      <w:r w:rsidRPr="0077586D">
        <w:rPr>
          <w:b/>
          <w:bCs/>
        </w:rPr>
        <w:t>MOTS-CLES</w:t>
      </w:r>
    </w:p>
    <w:p w14:paraId="00000007" w14:textId="3DA45F21" w:rsidR="00BD5227" w:rsidRDefault="00000000">
      <w:pPr>
        <w:spacing w:after="0" w:line="240" w:lineRule="auto"/>
        <w:jc w:val="both"/>
      </w:pPr>
      <w:r>
        <w:t xml:space="preserve">Agroécologie – Houblon – Plantes de services – </w:t>
      </w:r>
      <w:proofErr w:type="spellStart"/>
      <w:r>
        <w:t>Tetranychus</w:t>
      </w:r>
      <w:proofErr w:type="spellEnd"/>
      <w:r>
        <w:t xml:space="preserve"> </w:t>
      </w:r>
      <w:proofErr w:type="spellStart"/>
      <w:r>
        <w:t>urticae</w:t>
      </w:r>
      <w:proofErr w:type="spellEnd"/>
      <w:r>
        <w:t xml:space="preserve"> – </w:t>
      </w:r>
      <w:proofErr w:type="spellStart"/>
      <w:r>
        <w:t>Phorodon</w:t>
      </w:r>
      <w:proofErr w:type="spellEnd"/>
      <w:r>
        <w:t xml:space="preserve"> </w:t>
      </w:r>
      <w:proofErr w:type="spellStart"/>
      <w:r>
        <w:t>humuli</w:t>
      </w:r>
      <w:proofErr w:type="spellEnd"/>
    </w:p>
    <w:p w14:paraId="00000008" w14:textId="77777777" w:rsidR="00BD5227" w:rsidRDefault="00BD5227">
      <w:pPr>
        <w:spacing w:after="0" w:line="240" w:lineRule="auto"/>
        <w:jc w:val="both"/>
      </w:pPr>
    </w:p>
    <w:p w14:paraId="15FFFC29" w14:textId="77777777" w:rsidR="0077586D" w:rsidRDefault="00000000">
      <w:pPr>
        <w:spacing w:after="0" w:line="240" w:lineRule="auto"/>
        <w:jc w:val="both"/>
        <w:rPr>
          <w:b/>
          <w:bCs/>
        </w:rPr>
      </w:pPr>
      <w:r w:rsidRPr="0077586D">
        <w:rPr>
          <w:b/>
          <w:bCs/>
        </w:rPr>
        <w:t>THEME 4</w:t>
      </w:r>
    </w:p>
    <w:p w14:paraId="0000000A" w14:textId="5514B210" w:rsidR="00BD5227" w:rsidRPr="0077586D" w:rsidRDefault="00000000">
      <w:pPr>
        <w:spacing w:after="0" w:line="240" w:lineRule="auto"/>
        <w:jc w:val="both"/>
        <w:rPr>
          <w:i/>
          <w:iCs/>
        </w:rPr>
      </w:pPr>
      <w:r w:rsidRPr="0077586D">
        <w:t xml:space="preserve">Agroécologie et gestion durable des ressources - </w:t>
      </w:r>
      <w:r w:rsidRPr="0077586D">
        <w:rPr>
          <w:i/>
          <w:iCs/>
        </w:rPr>
        <w:t>Conception de systèmes de production plus durables</w:t>
      </w:r>
    </w:p>
    <w:p w14:paraId="0000000B" w14:textId="77777777" w:rsidR="00BD5227" w:rsidRPr="0077586D" w:rsidRDefault="00BD5227">
      <w:pPr>
        <w:spacing w:after="0" w:line="240" w:lineRule="auto"/>
        <w:jc w:val="both"/>
        <w:rPr>
          <w:b/>
          <w:bCs/>
        </w:rPr>
      </w:pPr>
    </w:p>
    <w:p w14:paraId="0000000C" w14:textId="1B55772A" w:rsidR="00BD5227" w:rsidRDefault="00000000">
      <w:pPr>
        <w:spacing w:after="0" w:line="240" w:lineRule="auto"/>
        <w:jc w:val="both"/>
        <w:rPr>
          <w:b/>
          <w:bCs/>
        </w:rPr>
      </w:pPr>
      <w:r w:rsidRPr="0077586D">
        <w:rPr>
          <w:b/>
          <w:bCs/>
        </w:rPr>
        <w:t xml:space="preserve">RESUME </w:t>
      </w:r>
    </w:p>
    <w:p w14:paraId="0000000E" w14:textId="25DF78E7" w:rsidR="00BD5227" w:rsidRDefault="00000000">
      <w:pPr>
        <w:spacing w:after="0" w:line="240" w:lineRule="auto"/>
        <w:jc w:val="both"/>
      </w:pPr>
      <w:sdt>
        <w:sdtPr>
          <w:tag w:val="goog_rdk_0"/>
          <w:id w:val="-339866180"/>
        </w:sdtPr>
        <w:sdtContent/>
      </w:sdt>
      <w:r>
        <w:t xml:space="preserve">Le Projet RAVAST’HOP s’inscrit dans le cadre de la stratégie Ecophyto 2030 et donc dans un contexte de transition agroécologique de la filière houblon à travers la mobilisation de leviers agronomiques tels que la diversification végétale permettant de réduire le recours aux insecticides. </w:t>
      </w:r>
      <w:sdt>
        <w:sdtPr>
          <w:tag w:val="goog_rdk_1"/>
          <w:id w:val="1490914422"/>
        </w:sdtPr>
        <w:sdtContent>
          <w:r>
            <w:t>En tant que culture mineure et orpheline, la filière houblon dispose de moyens financiers et humains limités. Jusqu’à présent, ces contraintes ne lui ont pas permis de mettre en place des essais à grande échelle pour répondre aux principales problématiques agronomiques et aux impasses techniques rencontrées par les houblonniers.</w:t>
          </w:r>
        </w:sdtContent>
      </w:sdt>
      <w:sdt>
        <w:sdtPr>
          <w:tag w:val="goog_rdk_2"/>
          <w:id w:val="1878921739"/>
          <w:showingPlcHdr/>
        </w:sdtPr>
        <w:sdtContent>
          <w:r w:rsidR="008039DF">
            <w:t xml:space="preserve">     </w:t>
          </w:r>
        </w:sdtContent>
      </w:sdt>
      <w:r>
        <w:t xml:space="preserve"> Par ailleurs, les substances actives homologuées disponibles sont peu nombreuses et le recours à ces dernières doit être revu à la baisse. La recherche de solutions alternatives permettant de réguler les populations des bioagresseurs se révèle donc indispensable pour envisager une baisse d’IFT tout en assurant la pérennité des </w:t>
      </w:r>
      <w:sdt>
        <w:sdtPr>
          <w:tag w:val="goog_rdk_3"/>
          <w:id w:val="-837119304"/>
        </w:sdtPr>
        <w:sdtContent>
          <w:r>
            <w:t xml:space="preserve">fermes </w:t>
          </w:r>
        </w:sdtContent>
      </w:sdt>
      <w:sdt>
        <w:sdtPr>
          <w:tag w:val="goog_rdk_4"/>
          <w:id w:val="-1193162160"/>
          <w:showingPlcHdr/>
        </w:sdtPr>
        <w:sdtContent>
          <w:r w:rsidR="008039DF">
            <w:t xml:space="preserve">     </w:t>
          </w:r>
        </w:sdtContent>
      </w:sdt>
      <w:sdt>
        <w:sdtPr>
          <w:tag w:val="goog_rdk_5"/>
          <w:id w:val="-1564964182"/>
        </w:sdtPr>
        <w:sdtContent>
          <w:r>
            <w:t>houblonnières</w:t>
          </w:r>
        </w:sdtContent>
      </w:sdt>
      <w:r>
        <w:t xml:space="preserve">. </w:t>
      </w:r>
    </w:p>
    <w:p w14:paraId="0000000F" w14:textId="77777777" w:rsidR="00BD5227" w:rsidRDefault="00BD5227">
      <w:pPr>
        <w:spacing w:after="0" w:line="240" w:lineRule="auto"/>
        <w:jc w:val="both"/>
      </w:pPr>
    </w:p>
    <w:p w14:paraId="00000010" w14:textId="77777777" w:rsidR="00BD5227" w:rsidRDefault="00000000">
      <w:pPr>
        <w:spacing w:after="0" w:line="240" w:lineRule="auto"/>
        <w:jc w:val="both"/>
      </w:pPr>
      <w:sdt>
        <w:sdtPr>
          <w:tag w:val="goog_rdk_6"/>
          <w:id w:val="913019138"/>
        </w:sdtPr>
        <w:sdtContent/>
      </w:sdt>
      <w:r>
        <w:t xml:space="preserve">Ce projet visera donc à évaluer l’impact de l’aménagement de l’agroécosystème, via l’implantation de plantes de services, sur la régulation naturelle des deux ravageurs les </w:t>
      </w:r>
      <w:proofErr w:type="gramStart"/>
      <w:r>
        <w:t>plus</w:t>
      </w:r>
      <w:proofErr w:type="gramEnd"/>
      <w:r>
        <w:t xml:space="preserve"> répandus sur le territoire métropolitain que sont les acariens (</w:t>
      </w:r>
      <w:proofErr w:type="spellStart"/>
      <w:r>
        <w:rPr>
          <w:i/>
          <w:iCs/>
        </w:rPr>
        <w:t>Tetranychus</w:t>
      </w:r>
      <w:proofErr w:type="spellEnd"/>
      <w:r>
        <w:rPr>
          <w:i/>
          <w:iCs/>
        </w:rPr>
        <w:t xml:space="preserve"> </w:t>
      </w:r>
      <w:proofErr w:type="spellStart"/>
      <w:r>
        <w:rPr>
          <w:i/>
          <w:iCs/>
        </w:rPr>
        <w:t>urticae</w:t>
      </w:r>
      <w:proofErr w:type="spellEnd"/>
      <w:r>
        <w:t>) et les pucerons (</w:t>
      </w:r>
      <w:proofErr w:type="spellStart"/>
      <w:r>
        <w:rPr>
          <w:i/>
          <w:iCs/>
        </w:rPr>
        <w:t>Phorodon</w:t>
      </w:r>
      <w:proofErr w:type="spellEnd"/>
      <w:r>
        <w:rPr>
          <w:i/>
          <w:iCs/>
        </w:rPr>
        <w:t xml:space="preserve"> </w:t>
      </w:r>
      <w:proofErr w:type="spellStart"/>
      <w:r>
        <w:rPr>
          <w:i/>
          <w:iCs/>
        </w:rPr>
        <w:t>humuli</w:t>
      </w:r>
      <w:proofErr w:type="spellEnd"/>
      <w:r>
        <w:t>), avec pour but :</w:t>
      </w:r>
    </w:p>
    <w:p w14:paraId="00000011" w14:textId="77777777" w:rsidR="00BD5227" w:rsidRDefault="00000000">
      <w:pPr>
        <w:spacing w:after="0" w:line="240" w:lineRule="auto"/>
        <w:jc w:val="both"/>
      </w:pPr>
      <w:r>
        <w:t>- de recenser par l’intermédiaire d’enquêtes les pratiques de rupture, et notamment agroécologiques, mises en place au niveau national et d’identifier les succès et échecs rencontrés dans l’utilisation de ces pratiques ainsi que les freins ou leviers potentiels ;</w:t>
      </w:r>
    </w:p>
    <w:p w14:paraId="00000012" w14:textId="77777777" w:rsidR="00BD5227" w:rsidRDefault="00000000">
      <w:pPr>
        <w:spacing w:after="0" w:line="240" w:lineRule="auto"/>
        <w:jc w:val="both"/>
      </w:pPr>
      <w:r>
        <w:t>- de réaliser un inventaire de la faune arthropode des houblonnières françaises afin d’identifier plus précisément les auxiliaires naturels présents et de pouvoir proposer des pratiques les favorisant ;</w:t>
      </w:r>
    </w:p>
    <w:p w14:paraId="00000013" w14:textId="77777777" w:rsidR="00BD5227" w:rsidRDefault="00000000">
      <w:pPr>
        <w:spacing w:after="0" w:line="240" w:lineRule="auto"/>
        <w:jc w:val="both"/>
      </w:pPr>
      <w:r>
        <w:t>- de concevoir, en collaboration avec l’ensemble des acteurs de la filière (houblonniers, conseillers, etc.), des pratiques basées sur l’augmentation de la diversité végétale au sein du système par l’insertion de plantes de services qui seront testées dans les sites expérimentaux ;</w:t>
      </w:r>
    </w:p>
    <w:p w14:paraId="00000014" w14:textId="77777777" w:rsidR="00BD5227" w:rsidRDefault="00000000">
      <w:pPr>
        <w:spacing w:after="0" w:line="240" w:lineRule="auto"/>
        <w:jc w:val="both"/>
      </w:pPr>
      <w:r>
        <w:t>- d’évaluer l’effet de l’insertion de plantes de services sur la régulation des ravageurs (pucerons et acariens) permettant ainsi de diminuer l’utilisation de produits phytosanitaires ;</w:t>
      </w:r>
    </w:p>
    <w:p w14:paraId="00000015" w14:textId="77777777" w:rsidR="00BD5227" w:rsidRDefault="00000000">
      <w:pPr>
        <w:spacing w:after="0" w:line="240" w:lineRule="auto"/>
        <w:jc w:val="both"/>
      </w:pPr>
      <w:r>
        <w:t>- d’évaluer l’impact de la diversification végétale dans des conditions pédoclimatiques et des systèmes de culture différents à l’échelle du territoire métropolitain.</w:t>
      </w:r>
    </w:p>
    <w:p w14:paraId="00000016" w14:textId="77777777" w:rsidR="00BD5227" w:rsidRDefault="00BD5227">
      <w:pPr>
        <w:spacing w:after="0" w:line="240" w:lineRule="auto"/>
        <w:jc w:val="both"/>
      </w:pPr>
    </w:p>
    <w:p w14:paraId="00000017" w14:textId="57E41336" w:rsidR="00BD5227" w:rsidRDefault="00000000">
      <w:pPr>
        <w:spacing w:after="0" w:line="240" w:lineRule="auto"/>
        <w:jc w:val="both"/>
      </w:pPr>
      <w:r>
        <w:lastRenderedPageBreak/>
        <w:t xml:space="preserve">Ainsi, un consortium de 5 partenaires, acteurs du suivi technique et de la R&amp;D de la filière houblon, s’est </w:t>
      </w:r>
      <w:sdt>
        <w:sdtPr>
          <w:tag w:val="goog_rdk_7"/>
          <w:id w:val="1211739022"/>
          <w:showingPlcHdr/>
        </w:sdtPr>
        <w:sdtContent>
          <w:r w:rsidR="008039DF">
            <w:t xml:space="preserve">     </w:t>
          </w:r>
        </w:sdtContent>
      </w:sdt>
      <w:r>
        <w:t>structuré pour mener à bien ces différentes actions sur les 3 ans du projet. Il s’appuie par ailleurs sur 13 houblonniers répartis sur l’ensemble du territoire métropolitain qui mettent à disposition leurs houblonnières, participent activement aux expérimentations et qui contribueront à l’évaluation d’un point de vue agronomique, pratique et économique de la stratégie mise en place.</w:t>
      </w:r>
    </w:p>
    <w:p w14:paraId="00000018" w14:textId="77777777" w:rsidR="00BD5227" w:rsidRDefault="00BD5227">
      <w:pPr>
        <w:spacing w:after="0" w:line="240" w:lineRule="auto"/>
        <w:jc w:val="both"/>
      </w:pPr>
    </w:p>
    <w:p w14:paraId="00000019" w14:textId="77777777" w:rsidR="00BD5227" w:rsidRDefault="00000000">
      <w:pPr>
        <w:spacing w:after="0" w:line="240" w:lineRule="auto"/>
        <w:jc w:val="both"/>
      </w:pPr>
      <w:sdt>
        <w:sdtPr>
          <w:tag w:val="goog_rdk_8"/>
          <w:id w:val="-1728770933"/>
        </w:sdtPr>
        <w:sdtContent/>
      </w:sdt>
      <w:r>
        <w:t>L'enjeu du projet est de produire des références technico-économiques sur les aménagements agroécologiques (introduction de plantes de services) permettant d’utiliser la biodiversité fonctionnelle comme outil de gestion des ravageurs afin de limiter l’impact économique engendré par ces derniers et le recours aux produits phytosanitaires. Seront travaillées au cours du projet des règles de décision relatives au choix et à la mise en place des plantes de services, mais également à leur intégration dans les itinéraires culturaux actuels. Cela permettra de contribuer à la conception de systèmes de cultures résilients en matière de régulation naturelle des ravageurs.</w:t>
      </w:r>
    </w:p>
    <w:p w14:paraId="0000001A" w14:textId="77777777" w:rsidR="00BD5227" w:rsidRDefault="00000000">
      <w:pPr>
        <w:spacing w:after="0" w:line="240" w:lineRule="auto"/>
        <w:jc w:val="both"/>
      </w:pPr>
      <w:bookmarkStart w:id="0" w:name="_heading=h.129p1ne4px5f" w:colFirst="0" w:colLast="0"/>
      <w:bookmarkEnd w:id="0"/>
      <w:r>
        <w:t>Les références produites seront notamment utilisées pour créer des guides pratiques visant à faciliter leur transfert à l’échelle nationale via les réseaux des acteurs de la filière (institut technique, réseaux chambres d’agriculture et FNAB, services agronomiques des coopératives,</w:t>
      </w:r>
      <w:sdt>
        <w:sdtPr>
          <w:tag w:val="goog_rdk_9"/>
          <w:id w:val="1566232952"/>
        </w:sdtPr>
        <w:sdtContent>
          <w:r>
            <w:t xml:space="preserve"> lycées agricoles,</w:t>
          </w:r>
        </w:sdtContent>
      </w:sdt>
      <w:r>
        <w:t xml:space="preserve"> etc.).</w:t>
      </w:r>
    </w:p>
    <w:p w14:paraId="0000001B" w14:textId="77777777" w:rsidR="00BD5227" w:rsidRDefault="00BD5227">
      <w:pPr>
        <w:spacing w:after="0" w:line="240" w:lineRule="auto"/>
        <w:jc w:val="both"/>
      </w:pPr>
    </w:p>
    <w:p w14:paraId="0000001C" w14:textId="07CC76FE" w:rsidR="00BD5227" w:rsidRDefault="0077586D">
      <w:pPr>
        <w:spacing w:after="0" w:line="240" w:lineRule="auto"/>
        <w:jc w:val="both"/>
      </w:pPr>
      <w:r w:rsidRPr="0077586D">
        <w:rPr>
          <w:b/>
          <w:bCs/>
        </w:rPr>
        <w:t>BIBLIOGRAPHIE</w:t>
      </w:r>
    </w:p>
    <w:p w14:paraId="0000001D" w14:textId="77777777" w:rsidR="00BD5227" w:rsidRPr="008039DF" w:rsidRDefault="00000000">
      <w:pPr>
        <w:spacing w:after="0" w:line="240" w:lineRule="auto"/>
        <w:jc w:val="both"/>
        <w:rPr>
          <w:lang w:val="en-US"/>
        </w:rPr>
      </w:pPr>
      <w:r w:rsidRPr="008039DF">
        <w:rPr>
          <w:lang w:val="en-US"/>
        </w:rPr>
        <w:t>- Calderwood, L. B., Darby, H., &amp; Lewins, S. (2015). Survey of Northeastern Hop Arthropod Pests and Their Natural Enemies. Journal of Integrated Pest Management, 6, 18</w:t>
      </w:r>
      <w:r w:rsidRPr="008039DF">
        <w:rPr>
          <w:rFonts w:ascii="Cambria Math" w:eastAsia="Cambria Math" w:hAnsi="Cambria Math" w:cs="Cambria Math"/>
          <w:lang w:val="en-US"/>
        </w:rPr>
        <w:t>‑</w:t>
      </w:r>
      <w:r w:rsidRPr="008039DF">
        <w:rPr>
          <w:lang w:val="en-US"/>
        </w:rPr>
        <w:t>18.</w:t>
      </w:r>
    </w:p>
    <w:p w14:paraId="0000001E" w14:textId="77777777" w:rsidR="00BD5227" w:rsidRPr="008039DF" w:rsidRDefault="00000000">
      <w:pPr>
        <w:spacing w:after="0" w:line="240" w:lineRule="auto"/>
        <w:jc w:val="both"/>
        <w:rPr>
          <w:lang w:val="en-US"/>
        </w:rPr>
      </w:pPr>
      <w:r w:rsidRPr="008039DF">
        <w:rPr>
          <w:lang w:val="en-US"/>
        </w:rPr>
        <w:t xml:space="preserve">- Calderwood, L., </w:t>
      </w:r>
      <w:proofErr w:type="spellStart"/>
      <w:r w:rsidRPr="008039DF">
        <w:rPr>
          <w:lang w:val="en-US"/>
        </w:rPr>
        <w:t>Cubins</w:t>
      </w:r>
      <w:proofErr w:type="spellEnd"/>
      <w:r w:rsidRPr="008039DF">
        <w:rPr>
          <w:lang w:val="en-US"/>
        </w:rPr>
        <w:t>, J., Vesty, D., &amp; Darby, H. (2017). Effect of Drive Row Ground Covers on Hop (</w:t>
      </w:r>
      <w:proofErr w:type="gramStart"/>
      <w:r w:rsidRPr="008039DF">
        <w:rPr>
          <w:lang w:val="en-US"/>
        </w:rPr>
        <w:t>Rosales</w:t>
      </w:r>
      <w:r w:rsidRPr="008039DF">
        <w:rPr>
          <w:rFonts w:ascii="Arial" w:eastAsia="Arial" w:hAnsi="Arial" w:cs="Arial"/>
          <w:lang w:val="en-US"/>
        </w:rPr>
        <w:t> </w:t>
      </w:r>
      <w:r w:rsidRPr="008039DF">
        <w:rPr>
          <w:lang w:val="en-US"/>
        </w:rPr>
        <w:t>:</w:t>
      </w:r>
      <w:proofErr w:type="gramEnd"/>
      <w:r w:rsidRPr="008039DF">
        <w:rPr>
          <w:lang w:val="en-US"/>
        </w:rPr>
        <w:t xml:space="preserve"> Cannabaceae) Yard Arthropod Pests in Vermont, USA. Environmental Entomology, 46(2), 183</w:t>
      </w:r>
      <w:r w:rsidRPr="008039DF">
        <w:rPr>
          <w:rFonts w:ascii="Cambria Math" w:eastAsia="Cambria Math" w:hAnsi="Cambria Math" w:cs="Cambria Math"/>
          <w:lang w:val="en-US"/>
        </w:rPr>
        <w:t>‑</w:t>
      </w:r>
      <w:r w:rsidRPr="008039DF">
        <w:rPr>
          <w:lang w:val="en-US"/>
        </w:rPr>
        <w:t xml:space="preserve">190. </w:t>
      </w:r>
    </w:p>
    <w:p w14:paraId="0000001F" w14:textId="77777777" w:rsidR="00BD5227" w:rsidRPr="008039DF" w:rsidRDefault="00000000">
      <w:pPr>
        <w:spacing w:after="0" w:line="240" w:lineRule="auto"/>
        <w:jc w:val="both"/>
        <w:rPr>
          <w:lang w:val="en-US"/>
        </w:rPr>
      </w:pPr>
      <w:r w:rsidRPr="008039DF">
        <w:rPr>
          <w:lang w:val="en-US"/>
        </w:rPr>
        <w:t xml:space="preserve">- Campbell, C. A. M. (2018). Influence of companion planting on damson hop aphid </w:t>
      </w:r>
      <w:proofErr w:type="spellStart"/>
      <w:r w:rsidRPr="008039DF">
        <w:rPr>
          <w:i/>
          <w:iCs/>
          <w:lang w:val="en-US"/>
        </w:rPr>
        <w:t>Phorodon</w:t>
      </w:r>
      <w:proofErr w:type="spellEnd"/>
      <w:r w:rsidRPr="008039DF">
        <w:rPr>
          <w:i/>
          <w:iCs/>
          <w:lang w:val="en-US"/>
        </w:rPr>
        <w:t xml:space="preserve"> </w:t>
      </w:r>
      <w:proofErr w:type="spellStart"/>
      <w:r w:rsidRPr="008039DF">
        <w:rPr>
          <w:i/>
          <w:iCs/>
          <w:lang w:val="en-US"/>
        </w:rPr>
        <w:t>humuli</w:t>
      </w:r>
      <w:proofErr w:type="spellEnd"/>
      <w:r w:rsidRPr="008039DF">
        <w:rPr>
          <w:lang w:val="en-US"/>
        </w:rPr>
        <w:t xml:space="preserve">, two spotted spider </w:t>
      </w:r>
      <w:proofErr w:type="gramStart"/>
      <w:r w:rsidRPr="008039DF">
        <w:rPr>
          <w:lang w:val="en-US"/>
        </w:rPr>
        <w:t>mite</w:t>
      </w:r>
      <w:proofErr w:type="gramEnd"/>
      <w:r w:rsidRPr="008039DF">
        <w:rPr>
          <w:lang w:val="en-US"/>
        </w:rPr>
        <w:t xml:space="preserve"> </w:t>
      </w:r>
      <w:proofErr w:type="spellStart"/>
      <w:r w:rsidRPr="008039DF">
        <w:rPr>
          <w:i/>
          <w:iCs/>
          <w:lang w:val="en-US"/>
        </w:rPr>
        <w:t>Tetranychus</w:t>
      </w:r>
      <w:proofErr w:type="spellEnd"/>
      <w:r w:rsidRPr="008039DF">
        <w:rPr>
          <w:i/>
          <w:iCs/>
          <w:lang w:val="en-US"/>
        </w:rPr>
        <w:t xml:space="preserve"> </w:t>
      </w:r>
      <w:proofErr w:type="spellStart"/>
      <w:r w:rsidRPr="008039DF">
        <w:rPr>
          <w:i/>
          <w:iCs/>
          <w:lang w:val="en-US"/>
        </w:rPr>
        <w:t>urticae</w:t>
      </w:r>
      <w:proofErr w:type="spellEnd"/>
      <w:r w:rsidRPr="008039DF">
        <w:rPr>
          <w:lang w:val="en-US"/>
        </w:rPr>
        <w:t>, and their antagonists in low trellis hops. Crop Protection (02612194), 114, 23</w:t>
      </w:r>
      <w:r w:rsidRPr="008039DF">
        <w:rPr>
          <w:rFonts w:ascii="Cambria Math" w:eastAsia="Cambria Math" w:hAnsi="Cambria Math" w:cs="Cambria Math"/>
          <w:lang w:val="en-US"/>
        </w:rPr>
        <w:t>‑</w:t>
      </w:r>
      <w:r w:rsidRPr="008039DF">
        <w:rPr>
          <w:lang w:val="en-US"/>
        </w:rPr>
        <w:t>31.</w:t>
      </w:r>
    </w:p>
    <w:p w14:paraId="00000020" w14:textId="77777777" w:rsidR="00BD5227" w:rsidRDefault="00000000">
      <w:pPr>
        <w:spacing w:after="0" w:line="240" w:lineRule="auto"/>
        <w:jc w:val="both"/>
      </w:pPr>
      <w:r w:rsidRPr="008039DF">
        <w:rPr>
          <w:lang w:val="en-US"/>
        </w:rPr>
        <w:t xml:space="preserve">- </w:t>
      </w:r>
      <w:proofErr w:type="spellStart"/>
      <w:r w:rsidRPr="008039DF">
        <w:rPr>
          <w:lang w:val="en-US"/>
        </w:rPr>
        <w:t>Grasswitz</w:t>
      </w:r>
      <w:proofErr w:type="spellEnd"/>
      <w:r w:rsidRPr="008039DF">
        <w:rPr>
          <w:lang w:val="en-US"/>
        </w:rPr>
        <w:t xml:space="preserve">, T. R., &amp; James, D. G. (2009). Influence of hop yard ground flora on invertebrate pests of hops and their natural enemies. </w:t>
      </w:r>
      <w:r>
        <w:t xml:space="preserve">Journal of Applied </w:t>
      </w:r>
      <w:proofErr w:type="spellStart"/>
      <w:r>
        <w:t>Entomology</w:t>
      </w:r>
      <w:proofErr w:type="spellEnd"/>
      <w:r>
        <w:t>, 133(3), 210</w:t>
      </w:r>
      <w:r>
        <w:rPr>
          <w:rFonts w:ascii="Cambria Math" w:eastAsia="Cambria Math" w:hAnsi="Cambria Math" w:cs="Cambria Math"/>
        </w:rPr>
        <w:t>‑</w:t>
      </w:r>
      <w:r>
        <w:t xml:space="preserve">221. </w:t>
      </w:r>
    </w:p>
    <w:p w14:paraId="00000021" w14:textId="77777777" w:rsidR="00BD5227" w:rsidRDefault="00BD5227">
      <w:pPr>
        <w:spacing w:after="0" w:line="240" w:lineRule="auto"/>
        <w:jc w:val="both"/>
      </w:pPr>
    </w:p>
    <w:sectPr w:rsidR="00BD5227">
      <w:headerReference w:type="default" r:id="rId7"/>
      <w:footerReference w:type="default" r:id="rId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3F811" w14:textId="77777777" w:rsidR="005C4A65" w:rsidRDefault="005C4A65">
      <w:pPr>
        <w:spacing w:after="0" w:line="240" w:lineRule="auto"/>
      </w:pPr>
      <w:r>
        <w:separator/>
      </w:r>
    </w:p>
  </w:endnote>
  <w:endnote w:type="continuationSeparator" w:id="0">
    <w:p w14:paraId="6E7806A6" w14:textId="77777777" w:rsidR="005C4A65" w:rsidRDefault="005C4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33A0C31-CFC3-452F-A06A-D7D4BB91F69A}"/>
    <w:embedBold r:id="rId2" w:fontKey="{DABACD58-10DF-4BF9-A5F6-FAB4A73D5A79}"/>
    <w:embedItalic r:id="rId3" w:fontKey="{A8F5F560-4AEA-43C0-B313-FE3E5B0A0E56}"/>
  </w:font>
  <w:font w:name="Play">
    <w:charset w:val="00"/>
    <w:family w:val="auto"/>
    <w:pitch w:val="default"/>
    <w:embedRegular r:id="rId4" w:fontKey="{DA273DDA-1033-468C-9D13-9584C0E42BD5}"/>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AD35C321-AA4E-437C-8F17-F655925DA51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182F090-BF53-45EF-AFA3-0BFA10D98E9F}"/>
  </w:font>
  <w:font w:name="Cambria">
    <w:panose1 w:val="02040503050406030204"/>
    <w:charset w:val="00"/>
    <w:family w:val="roman"/>
    <w:pitch w:val="variable"/>
    <w:sig w:usb0="E00006FF" w:usb1="420024FF" w:usb2="02000000" w:usb3="00000000" w:csb0="0000019F" w:csb1="00000000"/>
    <w:embedRegular r:id="rId7" w:fontKey="{97EE406C-EF11-4C29-8DC2-1A5D7C5A65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6D7F80BD" w:rsidR="00BD5227"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t xml:space="preserve">Page </w:t>
    </w:r>
    <w:r>
      <w:rPr>
        <w:b/>
        <w:bCs/>
        <w:color w:val="000000"/>
      </w:rPr>
      <w:fldChar w:fldCharType="begin"/>
    </w:r>
    <w:r>
      <w:rPr>
        <w:b/>
        <w:bCs/>
        <w:color w:val="000000"/>
      </w:rPr>
      <w:instrText>PAGE</w:instrText>
    </w:r>
    <w:r>
      <w:rPr>
        <w:b/>
        <w:bCs/>
        <w:color w:val="000000"/>
      </w:rPr>
      <w:fldChar w:fldCharType="separate"/>
    </w:r>
    <w:r w:rsidR="008039DF">
      <w:rPr>
        <w:b/>
        <w:bCs/>
        <w:noProof/>
        <w:color w:val="000000"/>
      </w:rPr>
      <w:t>1</w:t>
    </w:r>
    <w:r>
      <w:rPr>
        <w:b/>
        <w:bCs/>
        <w:color w:val="000000"/>
      </w:rPr>
      <w:fldChar w:fldCharType="end"/>
    </w:r>
    <w:r>
      <w:rPr>
        <w:color w:val="000000"/>
      </w:rPr>
      <w:t xml:space="preserve"> sur </w:t>
    </w:r>
    <w:r>
      <w:rPr>
        <w:b/>
        <w:bCs/>
        <w:color w:val="000000"/>
      </w:rPr>
      <w:fldChar w:fldCharType="begin"/>
    </w:r>
    <w:r>
      <w:rPr>
        <w:b/>
        <w:bCs/>
        <w:color w:val="000000"/>
      </w:rPr>
      <w:instrText>NUMPAGES</w:instrText>
    </w:r>
    <w:r>
      <w:rPr>
        <w:b/>
        <w:bCs/>
        <w:color w:val="000000"/>
      </w:rPr>
      <w:fldChar w:fldCharType="separate"/>
    </w:r>
    <w:r w:rsidR="008039DF">
      <w:rPr>
        <w:b/>
        <w:bCs/>
        <w:noProof/>
        <w:color w:val="000000"/>
      </w:rPr>
      <w:t>2</w:t>
    </w:r>
    <w:r>
      <w:rPr>
        <w:b/>
        <w:bCs/>
        <w:color w:val="000000"/>
      </w:rPr>
      <w:fldChar w:fldCharType="end"/>
    </w:r>
  </w:p>
  <w:p w14:paraId="00000025" w14:textId="77777777" w:rsidR="00BD5227" w:rsidRDefault="00BD522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8C14A" w14:textId="77777777" w:rsidR="005C4A65" w:rsidRDefault="005C4A65">
      <w:pPr>
        <w:spacing w:after="0" w:line="240" w:lineRule="auto"/>
      </w:pPr>
      <w:r>
        <w:separator/>
      </w:r>
    </w:p>
  </w:footnote>
  <w:footnote w:type="continuationSeparator" w:id="0">
    <w:p w14:paraId="70614E39" w14:textId="77777777" w:rsidR="005C4A65" w:rsidRDefault="005C4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BD5227" w:rsidRDefault="00000000">
    <w:pPr>
      <w:spacing w:after="0" w:line="240" w:lineRule="auto"/>
      <w:rPr>
        <w:i/>
        <w:iCs/>
        <w:sz w:val="20"/>
        <w:szCs w:val="20"/>
      </w:rPr>
    </w:pPr>
    <w:r>
      <w:rPr>
        <w:i/>
        <w:iCs/>
        <w:sz w:val="20"/>
        <w:szCs w:val="20"/>
      </w:rPr>
      <w:t>Résumé RAVAST’HOP - Rencontres du végétal 2026</w:t>
    </w:r>
    <w:r>
      <w:rPr>
        <w:noProof/>
      </w:rPr>
      <w:drawing>
        <wp:anchor distT="0" distB="0" distL="114300" distR="114300" simplePos="0" relativeHeight="251658240" behindDoc="0" locked="0" layoutInCell="1" hidden="0" allowOverlap="1">
          <wp:simplePos x="0" y="0"/>
          <wp:positionH relativeFrom="column">
            <wp:posOffset>4980305</wp:posOffset>
          </wp:positionH>
          <wp:positionV relativeFrom="paragraph">
            <wp:posOffset>-339089</wp:posOffset>
          </wp:positionV>
          <wp:extent cx="882000" cy="8640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82000" cy="864000"/>
                  </a:xfrm>
                  <a:prstGeom prst="rect">
                    <a:avLst/>
                  </a:prstGeom>
                  <a:ln/>
                </pic:spPr>
              </pic:pic>
            </a:graphicData>
          </a:graphic>
        </wp:anchor>
      </w:drawing>
    </w:r>
  </w:p>
  <w:p w14:paraId="00000023" w14:textId="77777777" w:rsidR="00BD5227" w:rsidRDefault="00BD5227">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227"/>
    <w:rsid w:val="005C4A65"/>
    <w:rsid w:val="005C6E4E"/>
    <w:rsid w:val="0077586D"/>
    <w:rsid w:val="008039DF"/>
    <w:rsid w:val="00BD52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A4348"/>
  <w15:docId w15:val="{5A2D86FD-6CCE-47C5-B260-3828F127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rFonts w:ascii="Play" w:eastAsia="Play" w:hAnsi="Play" w:cs="Play"/>
      <w:sz w:val="56"/>
      <w:szCs w:val="56"/>
    </w:rPr>
  </w:style>
  <w:style w:type="paragraph" w:styleId="Sous-titre">
    <w:name w:val="Subtitle"/>
    <w:basedOn w:val="Normal"/>
    <w:next w:val="Normal"/>
    <w:uiPriority w:val="11"/>
    <w:qFormat/>
    <w:rPr>
      <w:color w:val="595959"/>
      <w:sz w:val="28"/>
      <w:szCs w:val="28"/>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9Gahn6F/BKOef1F1K3b9Yv7uNg==">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773</Words>
  <Characters>4254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Thibaut Verfaille</dc:creator>
  <cp:lastModifiedBy>Thibaut Verfaille</cp:lastModifiedBy>
  <cp:revision>2</cp:revision>
  <dcterms:created xsi:type="dcterms:W3CDTF">2026-05-07T08:56:00Z</dcterms:created>
  <dcterms:modified xsi:type="dcterms:W3CDTF">2026-05-07T08:56:00Z</dcterms:modified>
</cp:coreProperties>
</file>